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</w:pP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В </w:t>
      </w:r>
      <w:r w:rsidR="009D4115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 w:bidi="ar-SA"/>
        </w:rPr>
        <w:t xml:space="preserve">МКОУ </w:t>
      </w:r>
      <w:proofErr w:type="spellStart"/>
      <w:r w:rsidR="009D4115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 w:bidi="ar-SA"/>
        </w:rPr>
        <w:t>Трясиновской</w:t>
      </w:r>
      <w:proofErr w:type="spellEnd"/>
      <w:r w:rsidR="009D4115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 w:bidi="ar-SA"/>
        </w:rPr>
        <w:t xml:space="preserve"> СШ </w:t>
      </w: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организовано бесплатное</w:t>
      </w:r>
      <w:r w:rsid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горячее </w:t>
      </w: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питание</w:t>
      </w:r>
      <w:r w:rsid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, предусматривающее наличие горячего блюда, не считая горячего напитка, не менее одного раза в день </w:t>
      </w: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за счет средств областного и районного бюджета следующим категориям учащихся: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1. </w:t>
      </w:r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B223CC">
        <w:rPr>
          <w:rFonts w:ascii="Times New Roman" w:hAnsi="Times New Roman" w:cs="Times New Roman"/>
          <w:sz w:val="24"/>
          <w:szCs w:val="24"/>
          <w:lang w:val="ru-RU"/>
        </w:rPr>
        <w:t>Обучающиеся</w:t>
      </w:r>
      <w:proofErr w:type="gramEnd"/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 1 - 4 классов;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2. Обучающиеся 5 - 11 классов по очной форме обучения следующих категорий: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 из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 из многодетных семей;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дети, состоящие на учете у фтизиатра, вне зависимости от среднедушевого дохода семьи ребенка;</w:t>
      </w:r>
    </w:p>
    <w:p w:rsidR="00C95DA4" w:rsidRPr="00B223CC" w:rsidRDefault="00C95DA4" w:rsidP="00B223C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B223CC" w:rsidRPr="00B223CC">
        <w:rPr>
          <w:sz w:val="24"/>
          <w:szCs w:val="24"/>
          <w:lang w:val="ru-RU"/>
        </w:rPr>
        <w:t>дети из семей граждан, призванных на военную службу по частичной мобилизации в Вооруженные Силы Российской Федерации в соответствии с</w:t>
      </w:r>
      <w:r w:rsidR="00B223CC" w:rsidRPr="00B223CC">
        <w:rPr>
          <w:sz w:val="24"/>
          <w:szCs w:val="24"/>
        </w:rPr>
        <w:t> </w:t>
      </w:r>
      <w:hyperlink r:id="rId4" w:anchor="64S0IJ" w:history="1">
        <w:r w:rsidR="00B223CC" w:rsidRPr="00B223CC">
          <w:rPr>
            <w:rStyle w:val="af6"/>
            <w:color w:val="auto"/>
            <w:sz w:val="24"/>
            <w:szCs w:val="24"/>
            <w:u w:val="none"/>
            <w:lang w:val="ru-RU"/>
          </w:rPr>
          <w:t xml:space="preserve">Указом Президента Российской Федерации от 21 сентября 2022 г. </w:t>
        </w:r>
        <w:r w:rsidR="00B223CC" w:rsidRPr="00B223CC">
          <w:rPr>
            <w:rStyle w:val="af6"/>
            <w:color w:val="auto"/>
            <w:sz w:val="24"/>
            <w:szCs w:val="24"/>
            <w:u w:val="none"/>
          </w:rPr>
          <w:t>N</w:t>
        </w:r>
        <w:r w:rsidR="00B223CC" w:rsidRPr="00B223CC">
          <w:rPr>
            <w:rStyle w:val="af6"/>
            <w:color w:val="auto"/>
            <w:sz w:val="24"/>
            <w:szCs w:val="24"/>
            <w:u w:val="none"/>
            <w:lang w:val="ru-RU"/>
          </w:rPr>
          <w:t xml:space="preserve"> 647 "Об объявлении частичной мобилизации в Российской Федерации"</w:t>
        </w:r>
      </w:hyperlink>
      <w:r w:rsidR="00B223CC" w:rsidRPr="00B223CC">
        <w:rPr>
          <w:sz w:val="24"/>
          <w:szCs w:val="24"/>
          <w:lang w:val="ru-RU"/>
        </w:rPr>
        <w:t>, граждан, проходящих военную службу в Вооруженных Силах Российской Федерации по контракту или находящихся на военной службе (службе) в войсках национальной гвардии Российской Федерации</w:t>
      </w:r>
      <w:proofErr w:type="gramEnd"/>
      <w:r w:rsidR="00B223CC" w:rsidRPr="00B223CC">
        <w:rPr>
          <w:sz w:val="24"/>
          <w:szCs w:val="24"/>
          <w:lang w:val="ru-RU"/>
        </w:rPr>
        <w:t xml:space="preserve">, </w:t>
      </w:r>
      <w:proofErr w:type="gramStart"/>
      <w:r w:rsidR="00B223CC" w:rsidRPr="00B223CC">
        <w:rPr>
          <w:sz w:val="24"/>
          <w:szCs w:val="24"/>
          <w:lang w:val="ru-RU"/>
        </w:rPr>
        <w:t>в воинских формированиях и органах, указанных в</w:t>
      </w:r>
      <w:r w:rsidR="00B223CC" w:rsidRPr="00B223CC">
        <w:rPr>
          <w:sz w:val="24"/>
          <w:szCs w:val="24"/>
        </w:rPr>
        <w:t> </w:t>
      </w:r>
      <w:hyperlink r:id="rId5" w:anchor="65E0IS" w:history="1">
        <w:r w:rsidR="00B223CC" w:rsidRPr="00B223CC">
          <w:rPr>
            <w:rStyle w:val="af6"/>
            <w:color w:val="auto"/>
            <w:sz w:val="24"/>
            <w:szCs w:val="24"/>
            <w:u w:val="none"/>
            <w:lang w:val="ru-RU"/>
          </w:rPr>
          <w:t xml:space="preserve">пункте 6 статьи 1 Федерального закона от 31 мая 1996 г. </w:t>
        </w:r>
        <w:r w:rsidR="00B223CC" w:rsidRPr="00B223CC">
          <w:rPr>
            <w:rStyle w:val="af6"/>
            <w:color w:val="auto"/>
            <w:sz w:val="24"/>
            <w:szCs w:val="24"/>
            <w:u w:val="none"/>
          </w:rPr>
          <w:t>N</w:t>
        </w:r>
        <w:r w:rsidR="00B223CC" w:rsidRPr="00B223CC">
          <w:rPr>
            <w:rStyle w:val="af6"/>
            <w:color w:val="auto"/>
            <w:sz w:val="24"/>
            <w:szCs w:val="24"/>
            <w:u w:val="none"/>
            <w:lang w:val="ru-RU"/>
          </w:rPr>
          <w:t xml:space="preserve"> 61-ФЗ "Об обороне"</w:t>
        </w:r>
      </w:hyperlink>
      <w:r w:rsidR="00B223CC" w:rsidRPr="00B223CC">
        <w:rPr>
          <w:sz w:val="24"/>
          <w:szCs w:val="24"/>
          <w:lang w:val="ru-RU"/>
        </w:rPr>
        <w:t>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</w:t>
      </w:r>
      <w:proofErr w:type="gramEnd"/>
      <w:r w:rsidR="00B223CC" w:rsidRPr="00B223CC">
        <w:rPr>
          <w:sz w:val="24"/>
          <w:szCs w:val="24"/>
          <w:lang w:val="ru-RU"/>
        </w:rPr>
        <w:t xml:space="preserve"> операции,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</w:t>
      </w:r>
      <w:proofErr w:type="gramStart"/>
      <w:r w:rsidR="00B223CC" w:rsidRPr="00B223CC">
        <w:rPr>
          <w:sz w:val="24"/>
          <w:szCs w:val="24"/>
          <w:lang w:val="ru-RU"/>
        </w:rPr>
        <w:t>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а также граждан из числа указанных в настоящем абзаце, которые погибли (умерли)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</w:t>
      </w:r>
      <w:proofErr w:type="gramEnd"/>
      <w:r w:rsidR="00B223CC" w:rsidRPr="00B223CC">
        <w:rPr>
          <w:sz w:val="24"/>
          <w:szCs w:val="24"/>
          <w:lang w:val="ru-RU"/>
        </w:rPr>
        <w:t xml:space="preserve"> </w:t>
      </w:r>
      <w:proofErr w:type="gramStart"/>
      <w:r w:rsidR="00B223CC" w:rsidRPr="00B223CC">
        <w:rPr>
          <w:sz w:val="24"/>
          <w:szCs w:val="24"/>
          <w:lang w:val="ru-RU"/>
        </w:rPr>
        <w:t>Российской Федерации, прилегающих к районам проведения специальной военной операции, либо умерли до истечения одного года со дня их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ими при участии в специальной военной операции или выполнении задач по отражению вооруженного вторжения на территорию Российской Федерации, в ходе вооруженной провокации на Государственной границе</w:t>
      </w:r>
      <w:proofErr w:type="gramEnd"/>
      <w:r w:rsidR="00B223CC" w:rsidRPr="00B223CC">
        <w:rPr>
          <w:sz w:val="24"/>
          <w:szCs w:val="24"/>
          <w:lang w:val="ru-RU"/>
        </w:rPr>
        <w:t xml:space="preserve"> Российской Федерации и территориях субъектов Российской Федерации, прилегающих к районам проведения специальной военной операции</w:t>
      </w:r>
      <w:r w:rsidRPr="00B223CC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 из семей лиц, признанных беженцами на территории Российской Федерации, или получивших временное убежище на территории Российской Федерации, или признанных вынужденными переселенцами;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- дети из семей лиц, пострадавших в результате чрезвычайных ситуаций природного или техногенного характера.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proofErr w:type="gramStart"/>
      <w:r w:rsidRPr="00B223CC">
        <w:rPr>
          <w:rFonts w:ascii="Times New Roman" w:hAnsi="Times New Roman" w:cs="Times New Roman"/>
          <w:sz w:val="24"/>
          <w:szCs w:val="24"/>
          <w:lang w:val="ru-RU"/>
        </w:rPr>
        <w:t>Обучающиеся</w:t>
      </w:r>
      <w:proofErr w:type="gramEnd"/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 с ОВЗ и </w:t>
      </w:r>
      <w:r w:rsidR="00B223CC">
        <w:rPr>
          <w:rFonts w:ascii="Times New Roman" w:hAnsi="Times New Roman" w:cs="Times New Roman"/>
          <w:sz w:val="24"/>
          <w:szCs w:val="24"/>
          <w:lang w:val="ru-RU"/>
        </w:rPr>
        <w:t>(или) инвалидностью</w:t>
      </w:r>
      <w:r w:rsidRPr="00B223C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t>В случае</w:t>
      </w:r>
      <w:proofErr w:type="gramStart"/>
      <w:r w:rsidR="00B223CC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 w:rsidRPr="00B223CC">
        <w:rPr>
          <w:rFonts w:ascii="Times New Roman" w:hAnsi="Times New Roman" w:cs="Times New Roman"/>
          <w:sz w:val="24"/>
          <w:szCs w:val="24"/>
          <w:lang w:val="ru-RU"/>
        </w:rPr>
        <w:t xml:space="preserve"> если обучающимся исполняется 18 лет, они обеспечиваются бесплатным горячим питанием в течение всего периода обучения в муниципальной общеобразовательной организации.</w:t>
      </w:r>
    </w:p>
    <w:p w:rsidR="00C95DA4" w:rsidRPr="00B223CC" w:rsidRDefault="00C95DA4" w:rsidP="00C95DA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  <w:lang w:val="ru-RU"/>
        </w:rPr>
      </w:pPr>
      <w:r w:rsidRPr="00B223CC">
        <w:rPr>
          <w:rFonts w:ascii="Times New Roman" w:hAnsi="Times New Roman" w:cs="Times New Roman"/>
          <w:sz w:val="24"/>
          <w:szCs w:val="24"/>
          <w:lang w:val="ru-RU"/>
        </w:rPr>
        <w:lastRenderedPageBreak/>
        <w:t>Обучающиеся обеспечиваются бесплатным горячим питанием в течение учебного года в период фактического посещения муниципальной общеобразовательной организации.</w:t>
      </w:r>
      <w:r w:rsidRPr="00B223CC">
        <w:rPr>
          <w:rFonts w:ascii="Times New Roman" w:hAnsi="Times New Roman" w:cs="Times New Roman"/>
          <w:sz w:val="24"/>
          <w:szCs w:val="24"/>
          <w:lang w:val="ru-RU"/>
        </w:rPr>
        <w:br/>
      </w:r>
      <w:proofErr w:type="gramStart"/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>(Основание:</w:t>
      </w:r>
      <w:proofErr w:type="gramEnd"/>
      <w:r w:rsidR="00B223CC" w:rsidRPr="00B223CC">
        <w:rPr>
          <w:rFonts w:ascii="Times New Roman" w:hAnsi="Times New Roman" w:cs="Times New Roman"/>
          <w:i/>
          <w:sz w:val="20"/>
          <w:szCs w:val="20"/>
          <w:lang w:val="ru-RU"/>
        </w:rPr>
        <w:t xml:space="preserve"> </w:t>
      </w:r>
      <w:proofErr w:type="gramStart"/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 xml:space="preserve">Постановление Администрации Серафимовичского муниципального района от </w:t>
      </w:r>
      <w:r w:rsidR="00B223CC" w:rsidRPr="00B223CC">
        <w:rPr>
          <w:rFonts w:ascii="Times New Roman" w:hAnsi="Times New Roman" w:cs="Times New Roman"/>
          <w:i/>
          <w:sz w:val="20"/>
          <w:szCs w:val="20"/>
          <w:lang w:val="ru-RU"/>
        </w:rPr>
        <w:t>03.03.2025</w:t>
      </w:r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 xml:space="preserve">г № </w:t>
      </w:r>
      <w:r w:rsidR="00B223CC" w:rsidRPr="00B223CC">
        <w:rPr>
          <w:rFonts w:ascii="Times New Roman" w:hAnsi="Times New Roman" w:cs="Times New Roman"/>
          <w:i/>
          <w:sz w:val="20"/>
          <w:szCs w:val="20"/>
          <w:lang w:val="ru-RU"/>
        </w:rPr>
        <w:t>131</w:t>
      </w:r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 xml:space="preserve">/1 </w:t>
      </w:r>
      <w:r w:rsidR="00B223CC" w:rsidRPr="00B223CC">
        <w:rPr>
          <w:rFonts w:ascii="Times New Roman" w:hAnsi="Times New Roman" w:cs="Times New Roman"/>
          <w:i/>
          <w:sz w:val="20"/>
          <w:szCs w:val="20"/>
          <w:lang w:val="ru-RU"/>
        </w:rPr>
        <w:t>«</w:t>
      </w:r>
      <w:r w:rsidR="00B223CC" w:rsidRPr="00B223CC">
        <w:rPr>
          <w:i/>
          <w:sz w:val="20"/>
          <w:szCs w:val="20"/>
          <w:lang w:val="ru-RU"/>
        </w:rPr>
        <w:t>Об утверждении Порядка организации горячего питания обучающихся в муниципальных общеобразовательных учреждениях Серафимовичского муниципального района Волгоградской области»</w:t>
      </w:r>
      <w:r w:rsidRPr="00B223CC">
        <w:rPr>
          <w:rFonts w:ascii="Times New Roman" w:hAnsi="Times New Roman" w:cs="Times New Roman"/>
          <w:i/>
          <w:sz w:val="20"/>
          <w:szCs w:val="20"/>
          <w:lang w:val="ru-RU"/>
        </w:rPr>
        <w:t>).</w:t>
      </w:r>
      <w:proofErr w:type="gramEnd"/>
    </w:p>
    <w:p w:rsidR="000D6692" w:rsidRPr="00B223CC" w:rsidRDefault="000D6692">
      <w:pPr>
        <w:rPr>
          <w:sz w:val="24"/>
          <w:szCs w:val="24"/>
          <w:lang w:val="ru-RU"/>
        </w:rPr>
      </w:pPr>
    </w:p>
    <w:sectPr w:rsidR="000D6692" w:rsidRPr="00B223CC" w:rsidSect="000D6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95DA4"/>
    <w:rsid w:val="000D6692"/>
    <w:rsid w:val="00223847"/>
    <w:rsid w:val="004B06DC"/>
    <w:rsid w:val="005F036E"/>
    <w:rsid w:val="00846EDD"/>
    <w:rsid w:val="00966D31"/>
    <w:rsid w:val="00984125"/>
    <w:rsid w:val="009D4115"/>
    <w:rsid w:val="00AD3979"/>
    <w:rsid w:val="00B223CC"/>
    <w:rsid w:val="00B86044"/>
    <w:rsid w:val="00BF5137"/>
    <w:rsid w:val="00C95DA4"/>
    <w:rsid w:val="00CF0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DA4"/>
    <w:pPr>
      <w:spacing w:after="240" w:line="480" w:lineRule="auto"/>
      <w:ind w:firstLine="360"/>
      <w:jc w:val="left"/>
    </w:pPr>
    <w:rPr>
      <w:rFonts w:asciiTheme="minorHAnsi" w:hAnsiTheme="minorHAnsi" w:cstheme="minorBidi"/>
      <w:sz w:val="22"/>
      <w:szCs w:val="22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984125"/>
    <w:pPr>
      <w:keepNext/>
      <w:keepLines/>
      <w:widowControl w:val="0"/>
      <w:autoSpaceDE w:val="0"/>
      <w:autoSpaceDN w:val="0"/>
      <w:spacing w:before="480" w:after="0" w:line="240" w:lineRule="auto"/>
      <w:ind w:left="344" w:firstLine="0"/>
      <w:contextualSpacing/>
      <w:mirrorIndent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1"/>
    </w:pPr>
    <w:rPr>
      <w:rFonts w:asciiTheme="majorHAnsi" w:eastAsiaTheme="majorEastAsia" w:hAnsiTheme="majorHAnsi" w:cstheme="majorBidi"/>
      <w:b/>
      <w:bCs/>
      <w:color w:val="4F81BD" w:themeColor="accent1"/>
      <w:w w:val="120"/>
      <w:sz w:val="26"/>
      <w:szCs w:val="26"/>
      <w:lang w:val="ru-RU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2"/>
    </w:pPr>
    <w:rPr>
      <w:rFonts w:asciiTheme="majorHAnsi" w:eastAsiaTheme="majorEastAsia" w:hAnsiTheme="majorHAnsi" w:cstheme="majorBidi"/>
      <w:b/>
      <w:bCs/>
      <w:color w:val="4F81BD" w:themeColor="accent1"/>
      <w:w w:val="120"/>
      <w:sz w:val="24"/>
      <w:szCs w:val="24"/>
      <w:lang w:val="ru-RU" w:bidi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w w:val="120"/>
      <w:sz w:val="24"/>
      <w:szCs w:val="24"/>
      <w:lang w:val="ru-RU" w:bidi="ar-S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4"/>
    </w:pPr>
    <w:rPr>
      <w:rFonts w:asciiTheme="majorHAnsi" w:eastAsiaTheme="majorEastAsia" w:hAnsiTheme="majorHAnsi" w:cstheme="majorBidi"/>
      <w:color w:val="243F60" w:themeColor="accent1" w:themeShade="7F"/>
      <w:w w:val="120"/>
      <w:sz w:val="24"/>
      <w:szCs w:val="24"/>
      <w:lang w:val="ru-RU" w:bidi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w w:val="120"/>
      <w:sz w:val="24"/>
      <w:szCs w:val="24"/>
      <w:lang w:val="ru-RU" w:bidi="ar-SA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4"/>
      <w:szCs w:val="24"/>
      <w:lang w:val="ru-RU" w:bidi="ar-SA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7"/>
    </w:pPr>
    <w:rPr>
      <w:rFonts w:asciiTheme="majorHAnsi" w:eastAsiaTheme="majorEastAsia" w:hAnsiTheme="majorHAnsi" w:cstheme="majorBidi"/>
      <w:color w:val="404040" w:themeColor="text1" w:themeTint="BF"/>
      <w:w w:val="120"/>
      <w:sz w:val="20"/>
      <w:szCs w:val="20"/>
      <w:lang w:val="ru-RU" w:bidi="ar-SA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06DC"/>
    <w:pPr>
      <w:keepNext/>
      <w:keepLines/>
      <w:widowControl w:val="0"/>
      <w:autoSpaceDE w:val="0"/>
      <w:autoSpaceDN w:val="0"/>
      <w:spacing w:before="200" w:after="0" w:line="240" w:lineRule="auto"/>
      <w:ind w:left="344" w:firstLine="0"/>
      <w:contextualSpacing/>
      <w:mirrorIndents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0"/>
      <w:szCs w:val="20"/>
      <w:lang w:val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4125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4B06DC"/>
    <w:rPr>
      <w:rFonts w:asciiTheme="majorHAnsi" w:eastAsiaTheme="majorEastAsia" w:hAnsiTheme="majorHAnsi" w:cstheme="majorBidi"/>
      <w:b/>
      <w:bCs/>
      <w:color w:val="4F81BD" w:themeColor="accent1"/>
      <w:w w:val="120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06DC"/>
    <w:rPr>
      <w:rFonts w:asciiTheme="majorHAnsi" w:eastAsiaTheme="majorEastAsia" w:hAnsiTheme="majorHAnsi" w:cstheme="majorBidi"/>
      <w:b/>
      <w:bCs/>
      <w:color w:val="4F81BD" w:themeColor="accent1"/>
      <w:w w:val="1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4B06DC"/>
    <w:rPr>
      <w:rFonts w:asciiTheme="majorHAnsi" w:eastAsiaTheme="majorEastAsia" w:hAnsiTheme="majorHAnsi" w:cstheme="majorBidi"/>
      <w:b/>
      <w:bCs/>
      <w:i/>
      <w:iCs/>
      <w:color w:val="4F81BD" w:themeColor="accent1"/>
      <w:w w:val="120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B06DC"/>
    <w:rPr>
      <w:rFonts w:asciiTheme="majorHAnsi" w:eastAsiaTheme="majorEastAsia" w:hAnsiTheme="majorHAnsi" w:cstheme="majorBidi"/>
      <w:color w:val="243F60" w:themeColor="accent1" w:themeShade="7F"/>
      <w:w w:val="120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4B06DC"/>
    <w:rPr>
      <w:rFonts w:asciiTheme="majorHAnsi" w:eastAsiaTheme="majorEastAsia" w:hAnsiTheme="majorHAnsi" w:cstheme="majorBidi"/>
      <w:i/>
      <w:iCs/>
      <w:color w:val="243F60" w:themeColor="accent1" w:themeShade="7F"/>
      <w:w w:val="120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4B06DC"/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B06DC"/>
    <w:rPr>
      <w:rFonts w:asciiTheme="majorHAnsi" w:eastAsiaTheme="majorEastAsia" w:hAnsiTheme="majorHAnsi" w:cstheme="majorBidi"/>
      <w:color w:val="404040" w:themeColor="text1" w:themeTint="BF"/>
      <w:w w:val="12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06DC"/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B06DC"/>
    <w:pPr>
      <w:widowControl w:val="0"/>
      <w:autoSpaceDE w:val="0"/>
      <w:autoSpaceDN w:val="0"/>
      <w:spacing w:after="200" w:line="240" w:lineRule="auto"/>
      <w:ind w:left="344" w:firstLine="0"/>
      <w:contextualSpacing/>
      <w:mirrorIndents/>
    </w:pPr>
    <w:rPr>
      <w:rFonts w:ascii="Times New Roman" w:hAnsi="Times New Roman" w:cs="Times New Roman"/>
      <w:b/>
      <w:bCs/>
      <w:color w:val="4F81BD" w:themeColor="accent1"/>
      <w:w w:val="120"/>
      <w:sz w:val="18"/>
      <w:szCs w:val="18"/>
      <w:lang w:val="ru-RU" w:bidi="ar-SA"/>
    </w:rPr>
  </w:style>
  <w:style w:type="paragraph" w:styleId="a4">
    <w:name w:val="Title"/>
    <w:basedOn w:val="a"/>
    <w:next w:val="a"/>
    <w:link w:val="a5"/>
    <w:uiPriority w:val="10"/>
    <w:qFormat/>
    <w:rsid w:val="004B06DC"/>
    <w:pPr>
      <w:widowControl w:val="0"/>
      <w:pBdr>
        <w:bottom w:val="single" w:sz="8" w:space="4" w:color="4F81BD" w:themeColor="accent1"/>
      </w:pBdr>
      <w:autoSpaceDE w:val="0"/>
      <w:autoSpaceDN w:val="0"/>
      <w:spacing w:after="300" w:line="240" w:lineRule="auto"/>
      <w:ind w:left="344" w:firstLine="0"/>
      <w:contextualSpacing/>
      <w:mirrorIndents/>
    </w:pPr>
    <w:rPr>
      <w:rFonts w:asciiTheme="majorHAnsi" w:eastAsiaTheme="majorEastAsia" w:hAnsiTheme="majorHAnsi" w:cstheme="majorBidi"/>
      <w:color w:val="17365D" w:themeColor="text2" w:themeShade="BF"/>
      <w:spacing w:val="5"/>
      <w:w w:val="120"/>
      <w:kern w:val="28"/>
      <w:sz w:val="52"/>
      <w:szCs w:val="52"/>
      <w:lang w:val="ru-RU" w:bidi="ar-SA"/>
    </w:rPr>
  </w:style>
  <w:style w:type="character" w:customStyle="1" w:styleId="a5">
    <w:name w:val="Название Знак"/>
    <w:basedOn w:val="a0"/>
    <w:link w:val="a4"/>
    <w:uiPriority w:val="10"/>
    <w:rsid w:val="004B06DC"/>
    <w:rPr>
      <w:rFonts w:asciiTheme="majorHAnsi" w:eastAsiaTheme="majorEastAsia" w:hAnsiTheme="majorHAnsi" w:cstheme="majorBidi"/>
      <w:color w:val="17365D" w:themeColor="text2" w:themeShade="BF"/>
      <w:spacing w:val="5"/>
      <w:w w:val="12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B06DC"/>
    <w:pPr>
      <w:widowControl w:val="0"/>
      <w:numPr>
        <w:ilvl w:val="1"/>
      </w:numPr>
      <w:autoSpaceDE w:val="0"/>
      <w:autoSpaceDN w:val="0"/>
      <w:spacing w:after="0" w:line="240" w:lineRule="auto"/>
      <w:ind w:left="344" w:firstLine="360"/>
      <w:contextualSpacing/>
      <w:mirrorIndents/>
    </w:pPr>
    <w:rPr>
      <w:rFonts w:asciiTheme="majorHAnsi" w:eastAsiaTheme="majorEastAsia" w:hAnsiTheme="majorHAnsi" w:cstheme="majorBidi"/>
      <w:i/>
      <w:iCs/>
      <w:color w:val="4F81BD" w:themeColor="accent1"/>
      <w:spacing w:val="15"/>
      <w:w w:val="120"/>
      <w:sz w:val="24"/>
      <w:szCs w:val="24"/>
      <w:lang w:val="ru-RU" w:bidi="ar-SA"/>
    </w:rPr>
  </w:style>
  <w:style w:type="character" w:customStyle="1" w:styleId="a7">
    <w:name w:val="Подзаголовок Знак"/>
    <w:basedOn w:val="a0"/>
    <w:link w:val="a6"/>
    <w:uiPriority w:val="11"/>
    <w:rsid w:val="004B06DC"/>
    <w:rPr>
      <w:rFonts w:asciiTheme="majorHAnsi" w:eastAsiaTheme="majorEastAsia" w:hAnsiTheme="majorHAnsi" w:cstheme="majorBidi"/>
      <w:i/>
      <w:iCs/>
      <w:color w:val="4F81BD" w:themeColor="accent1"/>
      <w:spacing w:val="15"/>
      <w:w w:val="120"/>
      <w:sz w:val="24"/>
      <w:szCs w:val="24"/>
    </w:rPr>
  </w:style>
  <w:style w:type="character" w:styleId="a8">
    <w:name w:val="Strong"/>
    <w:basedOn w:val="a0"/>
    <w:uiPriority w:val="22"/>
    <w:qFormat/>
    <w:rsid w:val="004B06DC"/>
    <w:rPr>
      <w:b/>
      <w:bCs/>
    </w:rPr>
  </w:style>
  <w:style w:type="character" w:styleId="a9">
    <w:name w:val="Emphasis"/>
    <w:uiPriority w:val="20"/>
    <w:qFormat/>
    <w:rsid w:val="004B06DC"/>
    <w:rPr>
      <w:i/>
      <w:iCs/>
    </w:rPr>
  </w:style>
  <w:style w:type="paragraph" w:styleId="aa">
    <w:name w:val="No Spacing"/>
    <w:uiPriority w:val="1"/>
    <w:qFormat/>
    <w:rsid w:val="00984125"/>
    <w:pPr>
      <w:spacing w:line="240" w:lineRule="auto"/>
    </w:pPr>
  </w:style>
  <w:style w:type="paragraph" w:styleId="ab">
    <w:name w:val="List Paragraph"/>
    <w:basedOn w:val="a"/>
    <w:uiPriority w:val="1"/>
    <w:qFormat/>
    <w:rsid w:val="00984125"/>
    <w:pPr>
      <w:widowControl w:val="0"/>
      <w:autoSpaceDE w:val="0"/>
      <w:autoSpaceDN w:val="0"/>
      <w:spacing w:after="0" w:line="240" w:lineRule="auto"/>
      <w:ind w:left="720" w:firstLine="0"/>
      <w:contextualSpacing/>
      <w:mirrorIndents/>
    </w:pPr>
    <w:rPr>
      <w:rFonts w:ascii="Times New Roman" w:hAnsi="Times New Roman" w:cs="Times New Roman"/>
      <w:w w:val="120"/>
      <w:sz w:val="24"/>
      <w:szCs w:val="24"/>
      <w:lang w:val="ru-RU" w:bidi="ar-SA"/>
    </w:rPr>
  </w:style>
  <w:style w:type="paragraph" w:styleId="21">
    <w:name w:val="Quote"/>
    <w:basedOn w:val="a"/>
    <w:next w:val="a"/>
    <w:link w:val="22"/>
    <w:uiPriority w:val="29"/>
    <w:qFormat/>
    <w:rsid w:val="004B06DC"/>
    <w:pPr>
      <w:widowControl w:val="0"/>
      <w:autoSpaceDE w:val="0"/>
      <w:autoSpaceDN w:val="0"/>
      <w:spacing w:after="0" w:line="240" w:lineRule="auto"/>
      <w:ind w:left="344" w:firstLine="0"/>
      <w:contextualSpacing/>
      <w:mirrorIndents/>
    </w:pPr>
    <w:rPr>
      <w:rFonts w:ascii="Times New Roman" w:hAnsi="Times New Roman" w:cs="Times New Roman"/>
      <w:i/>
      <w:iCs/>
      <w:color w:val="000000" w:themeColor="text1"/>
      <w:w w:val="120"/>
      <w:sz w:val="24"/>
      <w:szCs w:val="24"/>
      <w:lang w:val="ru-RU" w:bidi="ar-SA"/>
    </w:rPr>
  </w:style>
  <w:style w:type="character" w:customStyle="1" w:styleId="22">
    <w:name w:val="Цитата 2 Знак"/>
    <w:basedOn w:val="a0"/>
    <w:link w:val="21"/>
    <w:uiPriority w:val="29"/>
    <w:rsid w:val="004B06DC"/>
    <w:rPr>
      <w:i/>
      <w:iCs/>
      <w:color w:val="000000" w:themeColor="text1"/>
      <w:w w:val="120"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4B06DC"/>
    <w:pPr>
      <w:widowControl w:val="0"/>
      <w:pBdr>
        <w:bottom w:val="single" w:sz="4" w:space="4" w:color="4F81BD" w:themeColor="accent1"/>
      </w:pBdr>
      <w:autoSpaceDE w:val="0"/>
      <w:autoSpaceDN w:val="0"/>
      <w:spacing w:before="200" w:after="280" w:line="240" w:lineRule="auto"/>
      <w:ind w:left="936" w:right="936" w:firstLine="0"/>
      <w:contextualSpacing/>
      <w:mirrorIndents/>
    </w:pPr>
    <w:rPr>
      <w:rFonts w:ascii="Times New Roman" w:hAnsi="Times New Roman" w:cstheme="majorBidi"/>
      <w:b/>
      <w:bCs/>
      <w:i/>
      <w:iCs/>
      <w:color w:val="4F81BD" w:themeColor="accent1"/>
      <w:w w:val="120"/>
      <w:sz w:val="24"/>
      <w:szCs w:val="24"/>
      <w:lang w:val="ru-RU" w:bidi="ar-SA"/>
    </w:rPr>
  </w:style>
  <w:style w:type="character" w:customStyle="1" w:styleId="ad">
    <w:name w:val="Выделенная цитата Знак"/>
    <w:basedOn w:val="a0"/>
    <w:link w:val="ac"/>
    <w:uiPriority w:val="30"/>
    <w:rsid w:val="004B06DC"/>
    <w:rPr>
      <w:rFonts w:cstheme="majorBidi"/>
      <w:b/>
      <w:bCs/>
      <w:i/>
      <w:iCs/>
      <w:color w:val="4F81BD" w:themeColor="accent1"/>
      <w:w w:val="120"/>
      <w:sz w:val="24"/>
      <w:szCs w:val="24"/>
    </w:rPr>
  </w:style>
  <w:style w:type="character" w:styleId="ae">
    <w:name w:val="Subtle Emphasis"/>
    <w:uiPriority w:val="19"/>
    <w:qFormat/>
    <w:rsid w:val="004B06DC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4B06DC"/>
    <w:rPr>
      <w:b/>
      <w:bCs/>
      <w:i/>
      <w:iCs/>
      <w:color w:val="4F81BD" w:themeColor="accent1"/>
    </w:rPr>
  </w:style>
  <w:style w:type="character" w:styleId="af0">
    <w:name w:val="Subtle Reference"/>
    <w:uiPriority w:val="31"/>
    <w:qFormat/>
    <w:rsid w:val="004B06DC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4B06D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uiPriority w:val="33"/>
    <w:qFormat/>
    <w:rsid w:val="004B06D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B06DC"/>
    <w:pPr>
      <w:outlineLvl w:val="9"/>
    </w:pPr>
    <w:rPr>
      <w:w w:val="120"/>
    </w:rPr>
  </w:style>
  <w:style w:type="paragraph" w:styleId="af4">
    <w:name w:val="Body Text"/>
    <w:basedOn w:val="a"/>
    <w:link w:val="af5"/>
    <w:uiPriority w:val="1"/>
    <w:qFormat/>
    <w:rsid w:val="00984125"/>
    <w:pPr>
      <w:widowControl w:val="0"/>
      <w:autoSpaceDE w:val="0"/>
      <w:autoSpaceDN w:val="0"/>
      <w:spacing w:after="0" w:line="240" w:lineRule="auto"/>
      <w:ind w:left="344" w:firstLine="0"/>
      <w:contextualSpacing/>
      <w:mirrorIndents/>
    </w:pPr>
    <w:rPr>
      <w:rFonts w:ascii="Times New Roman" w:eastAsia="Times New Roman" w:hAnsi="Times New Roman" w:cs="Times New Roman"/>
      <w:sz w:val="24"/>
      <w:szCs w:val="24"/>
      <w:lang w:val="ru-RU" w:bidi="ar-SA"/>
    </w:rPr>
  </w:style>
  <w:style w:type="character" w:customStyle="1" w:styleId="af5">
    <w:name w:val="Основной текст Знак"/>
    <w:basedOn w:val="a0"/>
    <w:link w:val="af4"/>
    <w:uiPriority w:val="1"/>
    <w:rsid w:val="00984125"/>
    <w:rPr>
      <w:rFonts w:eastAsia="Times New Roman"/>
      <w:sz w:val="24"/>
      <w:szCs w:val="24"/>
    </w:rPr>
  </w:style>
  <w:style w:type="character" w:styleId="af6">
    <w:name w:val="Hyperlink"/>
    <w:basedOn w:val="a0"/>
    <w:uiPriority w:val="99"/>
    <w:semiHidden/>
    <w:unhideWhenUsed/>
    <w:rsid w:val="00C95DA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cntd.ru/document/9020348" TargetMode="External"/><Relationship Id="rId4" Type="http://schemas.openxmlformats.org/officeDocument/2006/relationships/hyperlink" Target="https://docs.cntd.ru/document/35180930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4</cp:revision>
  <dcterms:created xsi:type="dcterms:W3CDTF">2025-11-01T06:58:00Z</dcterms:created>
  <dcterms:modified xsi:type="dcterms:W3CDTF">2025-11-05T06:35:00Z</dcterms:modified>
</cp:coreProperties>
</file>